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000"/>
        </w:tabs>
        <w:spacing w:line="1200" w:lineRule="exact"/>
        <w:ind w:right="-449" w:rightChars="-214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b/>
          <w:bCs/>
          <w:sz w:val="36"/>
          <w:szCs w:val="36"/>
        </w:rPr>
        <w:pict>
          <v:shape id="_x0000_i1026" o:spt="136" type="#_x0000_t136" style="height:46.5pt;width:386.25pt;" fillcolor="#FF0000" filled="t" coordsize="21600,21600">
            <v:path/>
            <v:fill on="t" focussize="0,0"/>
            <v:stroke color="#FF0000"/>
            <v:imagedata o:title=""/>
            <o:lock v:ext="edit" text="f"/>
            <v:textpath on="t" fitshape="t" fitpath="t" trim="t" xscale="f" string="中共宁夏医科大学委员会宣传部" style="font-family:宋体;font-size:36pt;font-weight:bold;v-text-align:center;"/>
            <w10:wrap type="none"/>
            <w10:anchorlock/>
          </v:shape>
        </w:pict>
      </w:r>
    </w:p>
    <w:p>
      <w:pPr>
        <w:tabs>
          <w:tab w:val="right" w:pos="8306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right" w:pos="8306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宁医宣字〔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3号</w:t>
      </w:r>
    </w:p>
    <w:p>
      <w:pPr>
        <w:widowControl/>
        <w:adjustRightInd w:val="0"/>
        <w:spacing w:line="64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.65pt;height:0pt;width:441pt;z-index:251659264;mso-width-relative:page;mso-height-relative:page;" filled="f" stroked="t" coordsize="21600,21600" o:gfxdata="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Kqfe00gAAAAQBAAAPAAAA&#10;AAAAAAEAIAAAACIAAABkcnMvZG93bnJldi54bWxQSwECFAAUAAAACACHTuJA8igeI+IBAAChAwAA&#10;DgAAAAAAAAABACAAAAAhAQAAZHJzL2Uyb0RvYy54bWxQSwUGAAAAAAYABgBZAQAAd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-95" w:right="0" w:hanging="199" w:hangingChars="45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-95" w:right="0" w:hanging="199" w:hangingChars="45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关于做好学校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</w:rPr>
        <w:t>60周年校庆宣传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工作的通知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各基层党委（党总支、直属党支部）、各单位：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9月15日，学校将迎来60周年华诞，开启新甲子。60年来，宁医人秉承“艰苦奋斗、无私奉献”的宁医精神，孕育了宁医深厚的文化，形成了优良的传统，赢得了良好的声誉。为更好展示建校60年来的辉煌成就，充分表达全校师生员工对学校的热爱之情与美好祝愿，营造“隆重、节俭、务实”的校庆氛围。现就校庆主题、标识和宣传标语在庆祝活动中使用情况及要求通知如下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一、校庆主题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新时代  新宁医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4082" w:right="1474" w:bottom="1814" w:left="1587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二、校庆标识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42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259080</wp:posOffset>
            </wp:positionV>
            <wp:extent cx="2199640" cy="2164080"/>
            <wp:effectExtent l="0" t="0" r="1016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三、校庆宣传标语（详见附件）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四、工作要求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1.请各单位充分利用网络、新媒体、宣传栏、电子屏等形式做好校庆期间宣传工作，营造喜庆祥和、积极向上、凝心聚力、奋发有为的校庆气氛。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2.各单位要及时做好网页内容、图片的更新，及时做好反映改革发展40周年、宁夏成立60周年、学校建校60周年的宣传工作，及时报送校庆期间反映学校各项工作发展成就的信息。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3.校庆宣传工作从9月1日开始至本学期末结束。重点时间段为校庆周期间，请各单位安排专人负责并进行相关工作对接。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宣传部联系人：  朱燕    刘斐斐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联系电话：6980026   6980027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党委宣传部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 w:firstLine="64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2018年8月31日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fill="FFFFFF"/>
          <w:lang w:val="en-US" w:eastAsia="zh-CN" w:bidi="ar"/>
        </w:rPr>
        <w:t>校庆宣传标语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1.以习近平新时代中国特色社会主义思想为指导，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办好人民满意的医学教育，</w:t>
      </w:r>
      <w:r>
        <w:rPr>
          <w:rFonts w:hint="eastAsia" w:ascii="仿宋_GB2312" w:eastAsia="仿宋_GB2312"/>
          <w:b w:val="0"/>
          <w:bCs w:val="0"/>
          <w:sz w:val="32"/>
        </w:rPr>
        <w:t>为实现中华民族伟大复兴的中国梦不懈奋斗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2.更加紧密地团结在以习近平同志为核心的党中央周围，奋力谱写新时代中国特色社会主义的宁夏篇章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3.坚决维护以习近平同志为核心的党中央权威和集中统一领导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4.决胜全面建成小康社会，夺取新时代中国特色社会主义伟大胜利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5.热烈庆祝宁夏回族自治区成立60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周</w:t>
      </w:r>
      <w:r>
        <w:rPr>
          <w:rFonts w:hint="eastAsia" w:ascii="仿宋_GB2312" w:eastAsia="仿宋_GB2312"/>
          <w:b w:val="0"/>
          <w:bCs w:val="0"/>
          <w:sz w:val="32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6.不忘初心，牢记使命，为中国人民谋幸福，为中华民族谋复兴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7.坚持以人民为中心的发展思想，不断把为人民造福事业推向前进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8.毫不动摇坚持和完善党的领导，毫不动摇把党建设得更加坚强有力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9.人民有信仰，国家有力量，民族有希望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pacing w:val="-2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10.</w:t>
      </w:r>
      <w:r>
        <w:rPr>
          <w:rFonts w:hint="eastAsia" w:ascii="仿宋_GB2312" w:eastAsia="仿宋_GB2312"/>
          <w:b w:val="0"/>
          <w:bCs w:val="0"/>
          <w:spacing w:val="-20"/>
          <w:sz w:val="32"/>
        </w:rPr>
        <w:t>深入推进全面从严治党，努力营造风清气正的良好政治生态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11.全面贯彻党的民族政策，打造全国民族团结进步示范区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12.中华民族一家亲，同心共筑中国梦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</w:rPr>
        <w:t>13.牢固树立马克思主义民族观，铸牢中华民族共同体意识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14.凝心聚气，汇集实现伟大梦想和美好生活的磅礴伟力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15.</w:t>
      </w:r>
      <w:r>
        <w:rPr>
          <w:rFonts w:hint="eastAsia" w:ascii="仿宋_GB2312" w:eastAsia="仿宋_GB2312"/>
          <w:b w:val="0"/>
          <w:bCs w:val="0"/>
          <w:sz w:val="32"/>
        </w:rPr>
        <w:t>举旗帜、聚民心、育新人、兴文化、展形象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16.</w:t>
      </w:r>
      <w:r>
        <w:rPr>
          <w:rFonts w:hint="eastAsia" w:ascii="仿宋_GB2312" w:eastAsia="仿宋_GB2312"/>
          <w:b w:val="0"/>
          <w:bCs w:val="0"/>
          <w:sz w:val="32"/>
        </w:rPr>
        <w:t>坚持以立为本、立破并举，不断增强社会主义意识形态的凝聚力和引领力。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17.热烈庆祝宁夏医科大学建校60周年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18.坚持办学正确政治方向，牢记立德树人根本使命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19.建设高素质教学师资队伍，打造高水平人才培养体系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20.风雨同舟六十载，自强不息宁医人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9" w:leftChars="152" w:firstLine="320" w:firstLineChars="100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21.60载栉风沐雨，续写强校奋进新华章；40年改革开放，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迎来宁医发展好时光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22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.薪火相传一甲子，桃李芬芳六十年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23.德才兼备铸辉煌，知行合一谱华章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24.且知且行六十载，育德育才新时代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25.</w:t>
      </w:r>
      <w:r>
        <w:rPr>
          <w:rFonts w:hint="eastAsia" w:ascii="仿宋_GB2312" w:eastAsia="仿宋_GB2312"/>
          <w:b w:val="0"/>
          <w:bCs w:val="0"/>
          <w:sz w:val="32"/>
        </w:rPr>
        <w:t>弘扬爱国奋斗精神、建功立业新时代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26.风雨甲子塑塞上名校，雁湖金秋聚天英才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27.六十载传道受业服务桑梓，一甲子立德树人报效家国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28.桃李盈门，同贺宁医华诞；芝兰满室，共议母校发展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29.手牵手喜迎宁医华诞，心连心共忆甲子春秋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30.矢志攀登医学高峰，勇于担当时代重任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31.五湖校友齐相聚，四海贤达绘宏图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32.同庆六秩春秋盛典，共谱宁医发展新篇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33.六十载励精图治铸辉煌，新时代与时俱进谋发展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34.喜相逢同叙深情忆往昔峥嵘岁月，庆华诞共谋良策绘未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来璀璨宏图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304" w:right="0" w:rightChars="0"/>
        <w:jc w:val="left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35.时光若流水，忆往昔六十载风雨同舟路；岁月如漫歌，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看今朝宁医人再谱新华章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36.学为黔首而修，业为桑梓而立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37.孜孜不倦育华夏英才，生生不息铸宁医辉煌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38.修德济人铸就大医精诚；笃学精术传承宁医精神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39.辛勤耕耘喜结累累硕果，与时俱进再创宁医辉煌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40.凝聚甲子正能量，担当时代新使命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41.新时代，新征程，开启新篇章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 xml:space="preserve">       新宁医，新使命，铸就新辉煌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42.坚持“以本为本”，推进“四个回归”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43.正德厚生 臻于至善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44.办人民满意医学教育，育优秀创新医学人才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45.幸福是奋斗出来的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46.青春逢盛世，奋斗正当时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47.社会主义是干出来的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48.坚定不移走内涵式发展道路，矢志不渝培育新时代合格人才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49.树立健康理念，推进医教协同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50.打造师德师风高尚教师队伍，培育仁心仁术卓越医学人才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51.对标“双一流”建设，推进“内涵式”发展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52.为天地立心、为生民立命、为往圣继绝学、为万世开太平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2F2F2F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                </w:t>
      </w:r>
    </w:p>
    <w:sectPr>
      <w:pgSz w:w="11906" w:h="16838"/>
      <w:pgMar w:top="1417" w:right="1474" w:bottom="181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15C15-8EBF-4E41-84D2-904C56CA59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E0FB6A-97B6-46E8-9C04-76B1040211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C705E8-FB49-4E05-A34D-B52B743106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BAE438F-EE00-4313-9811-4478DFABB7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C858"/>
    <w:multiLevelType w:val="singleLevel"/>
    <w:tmpl w:val="14ABC8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06A8"/>
    <w:rsid w:val="02EF2E29"/>
    <w:rsid w:val="06A41B08"/>
    <w:rsid w:val="089E133E"/>
    <w:rsid w:val="1C257E2E"/>
    <w:rsid w:val="1E0C75C0"/>
    <w:rsid w:val="23D3518B"/>
    <w:rsid w:val="27C04795"/>
    <w:rsid w:val="28CB45E3"/>
    <w:rsid w:val="2C0C45D2"/>
    <w:rsid w:val="35B05598"/>
    <w:rsid w:val="3C04188C"/>
    <w:rsid w:val="4FB952A1"/>
    <w:rsid w:val="51573578"/>
    <w:rsid w:val="5A484CF6"/>
    <w:rsid w:val="60BF546A"/>
    <w:rsid w:val="6BA50A17"/>
    <w:rsid w:val="6DF443BC"/>
    <w:rsid w:val="70D42F6F"/>
    <w:rsid w:val="7368308E"/>
    <w:rsid w:val="7C350DEB"/>
    <w:rsid w:val="7C634F58"/>
    <w:rsid w:val="7FAD1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2F2F2F"/>
      <w:sz w:val="21"/>
      <w:szCs w:val="21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2F2F2F"/>
      <w:sz w:val="21"/>
      <w:szCs w:val="21"/>
      <w:u w:val="none"/>
    </w:rPr>
  </w:style>
  <w:style w:type="paragraph" w:customStyle="1" w:styleId="11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  <w:style w:type="character" w:customStyle="1" w:styleId="15">
    <w:name w:val="item-name2"/>
    <w:basedOn w:val="5"/>
    <w:qFormat/>
    <w:uiPriority w:val="0"/>
  </w:style>
  <w:style w:type="character" w:customStyle="1" w:styleId="16">
    <w:name w:val="item-name3"/>
    <w:basedOn w:val="5"/>
    <w:qFormat/>
    <w:uiPriority w:val="0"/>
  </w:style>
  <w:style w:type="character" w:customStyle="1" w:styleId="17">
    <w:name w:val="item-name4"/>
    <w:basedOn w:val="5"/>
    <w:qFormat/>
    <w:uiPriority w:val="0"/>
  </w:style>
  <w:style w:type="character" w:customStyle="1" w:styleId="18">
    <w:name w:val="column_anchor"/>
    <w:basedOn w:val="5"/>
    <w:qFormat/>
    <w:uiPriority w:val="0"/>
    <w:rPr>
      <w:rFonts w:ascii="微软雅黑" w:hAnsi="微软雅黑" w:eastAsia="微软雅黑" w:cs="微软雅黑"/>
    </w:rPr>
  </w:style>
  <w:style w:type="character" w:customStyle="1" w:styleId="19">
    <w:name w:val="news_title"/>
    <w:basedOn w:val="5"/>
    <w:qFormat/>
    <w:uiPriority w:val="0"/>
  </w:style>
  <w:style w:type="character" w:customStyle="1" w:styleId="20">
    <w:name w:val="news_meta"/>
    <w:basedOn w:val="5"/>
    <w:qFormat/>
    <w:uiPriority w:val="0"/>
  </w:style>
  <w:style w:type="character" w:customStyle="1" w:styleId="21">
    <w:name w:val="column-name12"/>
    <w:basedOn w:val="5"/>
    <w:qFormat/>
    <w:uiPriority w:val="0"/>
    <w:rPr>
      <w:color w:val="FFFFFF"/>
    </w:rPr>
  </w:style>
  <w:style w:type="character" w:customStyle="1" w:styleId="22">
    <w:name w:val="column-name13"/>
    <w:basedOn w:val="5"/>
    <w:qFormat/>
    <w:uiPriority w:val="0"/>
    <w:rPr>
      <w:color w:val="FFFFFF"/>
    </w:rPr>
  </w:style>
  <w:style w:type="character" w:customStyle="1" w:styleId="23">
    <w:name w:val="column-name14"/>
    <w:basedOn w:val="5"/>
    <w:qFormat/>
    <w:uiPriority w:val="0"/>
    <w:rPr>
      <w:color w:val="124D83"/>
    </w:rPr>
  </w:style>
  <w:style w:type="character" w:customStyle="1" w:styleId="24">
    <w:name w:val="column-name15"/>
    <w:basedOn w:val="5"/>
    <w:qFormat/>
    <w:uiPriority w:val="0"/>
    <w:rPr>
      <w:color w:val="124D83"/>
    </w:rPr>
  </w:style>
  <w:style w:type="character" w:customStyle="1" w:styleId="25">
    <w:name w:val="column-name16"/>
    <w:basedOn w:val="5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beatpartner</cp:lastModifiedBy>
  <cp:lastPrinted>2018-06-22T08:16:00Z</cp:lastPrinted>
  <dcterms:modified xsi:type="dcterms:W3CDTF">2018-08-31T08:22:54Z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